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6154A" w14:textId="77777777" w:rsidR="000847B8" w:rsidRPr="000847B8" w:rsidRDefault="000847B8" w:rsidP="000847B8">
      <w:pPr>
        <w:pStyle w:val="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bookmarkStart w:id="0" w:name="_GoBack"/>
      <w:bookmarkEnd w:id="0"/>
      <w:r w:rsidRPr="000847B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Приглашение к предварительной квалификации</w:t>
      </w:r>
    </w:p>
    <w:p w14:paraId="330B9F49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Страна: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Кыргызская Республика</w:t>
      </w:r>
    </w:p>
    <w:p w14:paraId="5FEA8078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Проект: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Строительство линии электропередачи и подстанций в Тамге и Караколе, Иссык-Кульская область, Кыргызская Республика</w:t>
      </w:r>
    </w:p>
    <w:p w14:paraId="424F6A57" w14:textId="028026B5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Наименование: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1: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Строительство подстанции 220/110/10 кВ «Каракол» и расширение подстанции 220/110/24 кВ «Тамга»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2: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Строительство линии электропередачи 220 кВ «Тамга – Каракол» и связанных линий 110 кВ</w:t>
      </w:r>
    </w:p>
    <w:p w14:paraId="7BAF50E9" w14:textId="5FB0B270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Код проекта: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KGZ-1007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Номер ICB: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KGZ1007/WORKS/ICB/PQ-01</w:t>
      </w:r>
    </w:p>
    <w:p w14:paraId="0FBFFB86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Настоящее приглашение к предварительной квалификации следует за Общим уведомлением о закупках (GPN) по данному проекту, опубликованным на веб-сайте Исламского банка развития (IsDB) и на сайте dgMarket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11 августа 2025 года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.</w:t>
      </w:r>
    </w:p>
    <w:p w14:paraId="53210757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Правительство Кыргызской Республики подало заявку на финансирование в Исламский банк развития (IsDB) для покрытия стоимости проекта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«Строительство линии электропередачи и подстанций в Тамге и Караколе, Иссык-Кульская область»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и намерено направить часть средств данного финансирования на оплату контрактов по следующим лотам:</w:t>
      </w:r>
    </w:p>
    <w:p w14:paraId="35236F45" w14:textId="77777777" w:rsidR="000847B8" w:rsidRPr="000847B8" w:rsidRDefault="000847B8" w:rsidP="000847B8">
      <w:pPr>
        <w:pStyle w:val="a6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1: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Строительство подстанции 220/110/10 кВ «Каракол» и расширение подстанции 220/110/24 кВ «Тамга»;</w:t>
      </w:r>
    </w:p>
    <w:p w14:paraId="2B707BAA" w14:textId="77777777" w:rsidR="000847B8" w:rsidRPr="000847B8" w:rsidRDefault="000847B8" w:rsidP="000847B8">
      <w:pPr>
        <w:pStyle w:val="a6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2: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Строительство линии электропередачи 220 кВ «Тамга – Каракол» и связанных линий 110 кВ.</w:t>
      </w:r>
    </w:p>
    <w:p w14:paraId="1544FB2F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Общий срок реализации проекта по всему объёму работ составляет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сорок два (42) месяца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. В информационных целях ориентировочные контрактные сроки завершения работ составляют:</w:t>
      </w:r>
    </w:p>
    <w:p w14:paraId="1264E60F" w14:textId="77777777" w:rsidR="000847B8" w:rsidRPr="000847B8" w:rsidRDefault="000847B8" w:rsidP="000847B8">
      <w:pPr>
        <w:pStyle w:val="a6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1 (Подстанции):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42 месяца</w:t>
      </w:r>
    </w:p>
    <w:p w14:paraId="43DA98D4" w14:textId="77777777" w:rsidR="000847B8" w:rsidRPr="000847B8" w:rsidRDefault="000847B8" w:rsidP="000847B8">
      <w:pPr>
        <w:pStyle w:val="a6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2 (ВЛ):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36 месяцев</w:t>
      </w:r>
    </w:p>
    <w:p w14:paraId="3425CC84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lastRenderedPageBreak/>
        <w:t>Окончательные контрактные сроки завершения работ и детальные положения по интерфейсам будут указаны в Тендерной документации.</w:t>
      </w:r>
    </w:p>
    <w:p w14:paraId="2923B314" w14:textId="18BA657B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Разъяснение по интерфейсам:</w:t>
      </w:r>
      <w:r w:rsidRPr="00706BED">
        <w:rPr>
          <w:rStyle w:val="a7"/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Лот 1 включает работы на подстанциях, включая линейные ячейки/порталы и окончания линий со стороны подстанций, системы релейной защиты и управления, а также интеграцию SCADA/телекоммуникаций на подстанциях «Тамга» и «Каракол».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Лот 2 включает работы по воздушным линиям электропередачи до точек интерфейса с подстанциями (включая опоры, провода, OPGW и испытания). Подробное распределение ответственности по интерфейсам и точки передачи будут определены в Тендерной документации, при этом оба Подрядчика (если они различны) обязаны тесно координировать свои действия с НЭСК и Консультантом по управлению проектом (PMC).</w:t>
      </w:r>
    </w:p>
    <w:p w14:paraId="5999D8E9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ОАО «Национальная электрическая сеть Кыргызстана» (НЭСК) (Заказчик) намерено провести предварительную квалификацию подрядчиков и/или компаний по вышеуказанным лотам. Работы в целом будут включать детальное проектирование (в объёме, предусмотренном Тендерной документацией), инжиниринг, закупки, строительство, монтаж, испытания и ввод в эксплуатацию высоковольтных подстанций и воздушных линий электропередачи напряжением 110 кВ и 220 кВ, включая сопутствующие гражданские работы, системы релейной защиты и управления, SCADA/телекоммуникационные системы, а также мероприятия по охране окружающей среды и социальным аспектам, как указано в Документе по предварительной квалификации (PQD).</w:t>
      </w:r>
    </w:p>
    <w:p w14:paraId="7E2349E4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К участию в предварительной квалификации допускаются Заявители, отвечающие следующим ключевым квалификационным требованиям, определённым в Документе по предварительной квалификации:</w:t>
      </w:r>
    </w:p>
    <w:p w14:paraId="2AD6BB92" w14:textId="77777777" w:rsidR="000847B8" w:rsidRPr="000847B8" w:rsidRDefault="000847B8" w:rsidP="000847B8">
      <w:pPr>
        <w:pStyle w:val="3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(a) Финансовые возможности</w:t>
      </w:r>
    </w:p>
    <w:p w14:paraId="0AE6A0BE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Минимальный среднегодовой оборот строительных работ (AACT), рассчитываемый как сумма подтверждённых платежей, полученных по контрактам, находящимся в стадии выполнения и/или завершённым в течение последних пяти (5) лет, разделённая на пять (5) лет, должен составлять:</w:t>
      </w:r>
    </w:p>
    <w:p w14:paraId="4CB13E30" w14:textId="77777777" w:rsidR="000847B8" w:rsidRPr="000847B8" w:rsidRDefault="000847B8" w:rsidP="000847B8">
      <w:pPr>
        <w:pStyle w:val="a6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lastRenderedPageBreak/>
        <w:t>Лот 1 (Подстанции):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17 000 000 долларов США (семнадцать миллионов долларов США)</w:t>
      </w:r>
    </w:p>
    <w:p w14:paraId="46AB94DF" w14:textId="77777777" w:rsidR="000847B8" w:rsidRPr="000847B8" w:rsidRDefault="000847B8" w:rsidP="000847B8">
      <w:pPr>
        <w:pStyle w:val="a6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2 (Воздушные линии):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12 000 000 долларов США (двенадцать миллионов долларов США)</w:t>
      </w:r>
    </w:p>
    <w:p w14:paraId="3F7B1C42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Минимальный объём доступных финансовых ресурсов / денежного потока, независимый от любых авансовых платежей по контракту, необходимый для покрытия потребностей проекта в оборотных средствах, должен составлять:</w:t>
      </w:r>
    </w:p>
    <w:p w14:paraId="70F7E35E" w14:textId="77777777" w:rsidR="000847B8" w:rsidRPr="000847B8" w:rsidRDefault="000847B8" w:rsidP="000847B8">
      <w:pPr>
        <w:pStyle w:val="a6"/>
        <w:numPr>
          <w:ilvl w:val="0"/>
          <w:numId w:val="24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1 (Подстанции):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2 000 000 долларов США (два миллиона долларов США)</w:t>
      </w:r>
    </w:p>
    <w:p w14:paraId="70DA93B8" w14:textId="77777777" w:rsidR="000847B8" w:rsidRPr="000847B8" w:rsidRDefault="000847B8" w:rsidP="000847B8">
      <w:pPr>
        <w:pStyle w:val="a6"/>
        <w:numPr>
          <w:ilvl w:val="0"/>
          <w:numId w:val="24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 2 (Воздушные линии):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1 500 000 долларов США (один миллион пятьсот тысяч долларов США)</w:t>
      </w:r>
    </w:p>
    <w:p w14:paraId="0C61DC61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Аудированные финансовые отчёты (или, где допускается, иные приемлемые финансовые отчёты) за последние три (3) года, подтверждающие устойчивое финансовое положение Заявителя и перспективы долгосрочной прибыльности.</w:t>
      </w:r>
    </w:p>
    <w:p w14:paraId="21502352" w14:textId="77777777" w:rsidR="000847B8" w:rsidRPr="000847B8" w:rsidRDefault="000847B8" w:rsidP="000847B8">
      <w:pPr>
        <w:pStyle w:val="3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(b) Опыт</w:t>
      </w:r>
    </w:p>
    <w:p w14:paraId="1A67CF77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Общий опыт выполнения строительных контрактов в качестве генерального подрядчика, участника совместного предприятия, субподрядчика или управляющего подрядчика в течение последних десяти (10) лет, предшествующих крайнему сроку подачи Заявок.</w:t>
      </w:r>
    </w:p>
    <w:p w14:paraId="1B8ED76F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Не менее двух (2) аналогичных контрактов, каждый с минимальной стоимостью контракта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17 000 000 долларов США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для Лота 1 и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12 000 000 долларов США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для Лота 2, удовлетворительно и в основном завершённых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в течение последних десяти (10) лет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, предшествующих крайнему сроку подачи Заявок. Среднегодовой оборот строительных работ является годовым показателем и сопоставим с годовым денежным потоком/сроком выполнения, а не с общей стоимостью контракта.</w:t>
      </w:r>
    </w:p>
    <w:p w14:paraId="51EB7093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Подтверждённый опыт строительства, полученный в течение последних десяти (10) лет, в следующих ключевых видах деятельности, относящихся к высоковольтной передающей инфраструктуре:</w:t>
      </w:r>
    </w:p>
    <w:p w14:paraId="504A9A88" w14:textId="77777777" w:rsidR="000847B8" w:rsidRPr="000847B8" w:rsidRDefault="000847B8" w:rsidP="000847B8">
      <w:pPr>
        <w:pStyle w:val="a6"/>
        <w:numPr>
          <w:ilvl w:val="0"/>
          <w:numId w:val="25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lastRenderedPageBreak/>
        <w:t>проектирование и строительство высоковольтных подстанций напряжением 110 кВ и выше, включая силовые трансформаторы, высоковольтное коммутационное оборудование (AIS и/или GIS), системы релейной защиты и управления, вспомогательные системы переменного и постоянного тока и интеграцию с SCADA/телекоммуникационными системами;</w:t>
      </w:r>
    </w:p>
    <w:p w14:paraId="59173928" w14:textId="77777777" w:rsidR="000847B8" w:rsidRPr="000847B8" w:rsidRDefault="000847B8" w:rsidP="000847B8">
      <w:pPr>
        <w:pStyle w:val="a6"/>
        <w:numPr>
          <w:ilvl w:val="0"/>
          <w:numId w:val="25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проектирование и строительство воздушных линий электропередачи напряжением 110 кВ и выше, включая трассировку, проектирование опор и фундаментов в горных/сложных условиях, монтаж опор, натяжку проводов и OPGW, заземление линий и ввод в эксплуатацию;</w:t>
      </w:r>
    </w:p>
    <w:p w14:paraId="6AF8A6FE" w14:textId="77777777" w:rsidR="000847B8" w:rsidRPr="000847B8" w:rsidRDefault="000847B8" w:rsidP="000847B8">
      <w:pPr>
        <w:pStyle w:val="a6"/>
        <w:numPr>
          <w:ilvl w:val="0"/>
          <w:numId w:val="25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сопутствующие гражданские работы, такие как здания управления, фундаменты оборудования, маслосборники, кабельные каналы, внутренние дороги и дренаж;</w:t>
      </w:r>
    </w:p>
    <w:p w14:paraId="602B5AF4" w14:textId="77777777" w:rsidR="000847B8" w:rsidRPr="000847B8" w:rsidRDefault="000847B8" w:rsidP="000847B8">
      <w:pPr>
        <w:pStyle w:val="a6"/>
        <w:numPr>
          <w:ilvl w:val="0"/>
          <w:numId w:val="25"/>
        </w:numPr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реализация мероприятий по охране окружающей среды и социальным аспектам, а также управление охраной труда и техникой безопасности (OHS) при строительстве высоковольтных подстанций и линий электропередачи.</w:t>
      </w:r>
    </w:p>
    <w:p w14:paraId="7A4D2611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Для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Лота 1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«аналогичный контракт» означает контракт, преимущественно включающий проектирование/инжиниринг, поставку, строительство, монтаж, испытания и ввод в эксплуатацию высоковольтных подстанций (≥110 кВ), включая сопутствующие гражданские работы и интеграцию систем релейной защиты, управления и SCADA.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 xml:space="preserve">Для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Лота 2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«аналогичный контракт» означает контракт, преимущественно включающий строительство/монтаж, испытания и ввод в эксплуатацию воздушных линий электропередачи (≥220 кВ), включая опоры/фундаменты, натяжку проводов, OPGW/телекоммуникации и сопутствующие гражданские/временные подъездные работы.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Один контракт, включающий как подстанционные, так и линейные работы, может быть использован для подтверждения опыта по обоим лотам при условии соответствия минимальным требованиям каждого лота.</w:t>
      </w:r>
    </w:p>
    <w:p w14:paraId="7CBA5BCC" w14:textId="77777777" w:rsidR="000847B8" w:rsidRPr="000847B8" w:rsidRDefault="000847B8" w:rsidP="000847B8">
      <w:pPr>
        <w:pStyle w:val="3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(c) История исполнения контрактов</w:t>
      </w:r>
    </w:p>
    <w:p w14:paraId="1460AA75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Отсутствие неисполнения контрактов по вине Заявителя с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 января 2020 года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, как определено в Документе по предварительной квалификации.</w:t>
      </w:r>
    </w:p>
    <w:p w14:paraId="5B77FC08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lastRenderedPageBreak/>
        <w:t>Отсутствие систематической истории судебных или арбитражных решений против Заявителя, которые могли бы оказать существенное негативное влияние на его финансовое положение, как определено в Документе по предварительной квалификации.</w:t>
      </w:r>
    </w:p>
    <w:p w14:paraId="250C9B38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Предоставление декларации по экологическим, социальным, охране труда и технике безопасности (ESHS) за последние пять (5) лет, включая раскрытие информации о любых контрактах, приостановленных или расторгнутых, и/или случаях обращения взыскания на гарантии исполнения по причинам, связанным с ESHS.</w:t>
      </w:r>
    </w:p>
    <w:p w14:paraId="6FAB84CA" w14:textId="77777777" w:rsidR="000847B8" w:rsidRPr="000847B8" w:rsidRDefault="000847B8" w:rsidP="000847B8">
      <w:pPr>
        <w:pStyle w:val="3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(d) Право участия и соответствие требованиям</w:t>
      </w:r>
    </w:p>
    <w:p w14:paraId="2212243C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Соответствие требованиям IsDB по праву участия и перечню допустимых стран происхождения, включая отсутствие отстранения или санкций со стороны IsDB и отсутствие запретов в соответствии с резолюциями Совета Безопасности ООН, законодательством Бенефициара или применимыми бойкотными нормативами.</w:t>
      </w:r>
    </w:p>
    <w:p w14:paraId="2D04C606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Отсутствие конфликта интересов в соответствии с требованиями, установленными в Документе по предварительной квалификации.</w:t>
      </w:r>
    </w:p>
    <w:p w14:paraId="2B2D9ECF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Соответствие требованиям IsDB по противодействию отмыванию денежных средств, финансированию терроризма и процедурам «Знай своего клиента» (AML/CFT/KYC), включая заполнение соответствующих анкет и форм по запросу.</w:t>
      </w:r>
    </w:p>
    <w:p w14:paraId="103241BF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Более детальные квалификационные требования приведены в Документе по предварительной квалификации. Ожидается, что приглашения к подаче тендерных предложений будут направлены предварительно квалифицированным Заявителям в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феврале–марте 2026 года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.</w:t>
      </w:r>
    </w:p>
    <w:p w14:paraId="7310E7FE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Предварительная квалификация будет проводиться в соответствии с процедурами, указанными в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Руководстве Исламского банка развития по закупкам товаров, работ и сопутствующих услуг в рамках финансирования проектов IsDB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(апрель 2019 года, пересмотрено в феврале 2023 года), и открыта для всех Заявителей из допустимых стран происхождения, определённых в Руководстве. Торги будут проводиться в форме открытых международных конкурентных торгов (ICB Open).</w:t>
      </w:r>
    </w:p>
    <w:p w14:paraId="6AA0F089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lastRenderedPageBreak/>
        <w:t>Заинтересованные допустимые Заявители могут получить дополнительную информацию и ознакомиться с Документом по предварительной квалификации в офисе Заказчика по указанному ниже адресу с 09:00 до 17:00 (время г. Бишкек), с понедельника по пятницу.</w:t>
      </w:r>
    </w:p>
    <w:p w14:paraId="3B389BF3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Заинтересованные Заявители могут получить полный комплект Документа по предварительной квалификации на английском языке после подачи письменного запроса по адресу ниже и уплаты невозвратного сбора в размере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8 700 сомов Кыргызской Республики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или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100 долларов США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. Заявители должны направить подтверждение оплаты (платёжное поручение и/или подтверждение SWIFT MT103/перевода) на адрес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nesk@elcat.kg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с копией на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kgztamgakarakol@gmail.com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, указав в теме письма наименование Заявителя и «KGZ1007/WORKS/ICB/PQ-01». Документ по предварительной квалификации будет выдан после подтверждения поступления средств. Оплата осуществляется банковским переводом по следующим реквизитам:</w:t>
      </w:r>
    </w:p>
    <w:p w14:paraId="05C38D80" w14:textId="77EB0B75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Банковские реквизиты:</w:t>
      </w:r>
      <w:r w:rsidRPr="00706BED">
        <w:rPr>
          <w:rStyle w:val="a7"/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ОАО «Оптима Банк»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Центральный филиал г. Бишкек</w:t>
      </w:r>
    </w:p>
    <w:p w14:paraId="3A182145" w14:textId="0F2385C3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Номер счёта: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1091820100040606</w:t>
      </w:r>
      <w:r w:rsidRPr="00706BED">
        <w:rPr>
          <w:rStyle w:val="a7"/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 xml:space="preserve">BIC: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109018</w:t>
      </w:r>
    </w:p>
    <w:p w14:paraId="4AC12FA1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>Документ будет направлен по электронной почте (в формате PDF и редактируемом формате) на адрес электронной почты, указанный в письменном запросе, либо может быть получен лично по указанному ниже адресу.</w:t>
      </w:r>
    </w:p>
    <w:p w14:paraId="704D0BFA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Заявки на предварительную квалификацию должны быть поданы в запечатанных конвертах и доставлены по указанному ниже адресу </w:t>
      </w: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не позднее 30 января 2026 года, 10:00 (время г. Бишкек)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>, с чёткой маркировкой:</w:t>
      </w:r>
    </w:p>
    <w:p w14:paraId="56D16384" w14:textId="09E217D1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«Заявка на предварительную квалификацию для:</w:t>
      </w:r>
      <w:r w:rsidRPr="00706BED">
        <w:rPr>
          <w:rStyle w:val="a7"/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KGZ1007 – Строительство линии электропередачи и подстанций в Тамге и Караколе, Иссык-Кульская область.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ICB №: KGZ1007/WORKS/ICB/PQ-01.»</w:t>
      </w:r>
    </w:p>
    <w:p w14:paraId="39E395CC" w14:textId="59834CFF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lastRenderedPageBreak/>
        <w:t>Заказчик: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ОАО «Национальная электрическая сеть Кыргызстана» (НЭСК)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Вниманию: г-на Эмиля Артыкбаева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 xml:space="preserve">Начальника отдела </w:t>
      </w:r>
      <w:r w:rsidR="00706BED">
        <w:rPr>
          <w:rFonts w:asciiTheme="minorHAnsi" w:hAnsiTheme="minorHAnsi" w:cstheme="minorHAnsi"/>
          <w:color w:val="000000" w:themeColor="text1"/>
          <w:lang w:val="ru-RU"/>
        </w:rPr>
        <w:t>внешних связей и реализации проектов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ул. Жибек-Жолу, 326, г. Бишкек, Кыргызская Республика</w:t>
      </w:r>
      <w:r w:rsidRPr="00706BED">
        <w:rPr>
          <w:rFonts w:asciiTheme="minorHAnsi" w:hAnsiTheme="minorHAnsi" w:cstheme="minorHAnsi"/>
          <w:color w:val="000000" w:themeColor="text1"/>
          <w:lang w:val="ru-RU"/>
        </w:rPr>
        <w:tab/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br/>
        <w:t>Тел.: +996 772 510336</w:t>
      </w:r>
    </w:p>
    <w:p w14:paraId="6AF67A97" w14:textId="77777777" w:rsidR="000847B8" w:rsidRPr="000847B8" w:rsidRDefault="000847B8" w:rsidP="000847B8">
      <w:pPr>
        <w:pStyle w:val="a6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0847B8">
        <w:rPr>
          <w:rStyle w:val="a7"/>
          <w:rFonts w:asciiTheme="minorHAnsi" w:hAnsiTheme="minorHAnsi" w:cstheme="minorHAnsi"/>
          <w:color w:val="000000" w:themeColor="text1"/>
          <w:lang w:val="ru-RU"/>
        </w:rPr>
        <w:t>Электронная почта:</w:t>
      </w:r>
      <w:r w:rsidRPr="000847B8">
        <w:rPr>
          <w:rFonts w:asciiTheme="minorHAnsi" w:hAnsiTheme="minorHAnsi" w:cstheme="minorHAnsi"/>
          <w:color w:val="000000" w:themeColor="text1"/>
          <w:lang w:val="ru-RU"/>
        </w:rPr>
        <w:t xml:space="preserve"> nesk@elcat.kg и kgztamgakarakol@gmail.com</w:t>
      </w:r>
    </w:p>
    <w:p w14:paraId="0804EACC" w14:textId="77777777" w:rsidR="00B22A94" w:rsidRPr="000847B8" w:rsidRDefault="00B22A94" w:rsidP="000847B8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sectPr w:rsidR="00B22A94" w:rsidRPr="000847B8" w:rsidSect="007867E4">
      <w:headerReference w:type="even" r:id="rId8"/>
      <w:head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415C" w14:textId="77777777" w:rsidR="00A2136C" w:rsidRDefault="00A2136C">
      <w:pPr>
        <w:spacing w:after="0" w:line="240" w:lineRule="auto"/>
      </w:pPr>
      <w:r>
        <w:separator/>
      </w:r>
    </w:p>
  </w:endnote>
  <w:endnote w:type="continuationSeparator" w:id="0">
    <w:p w14:paraId="7390B02F" w14:textId="77777777" w:rsidR="00A2136C" w:rsidRDefault="00A2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C9821" w14:textId="77777777" w:rsidR="00A2136C" w:rsidRDefault="00A2136C">
      <w:pPr>
        <w:spacing w:after="0" w:line="240" w:lineRule="auto"/>
      </w:pPr>
      <w:r>
        <w:separator/>
      </w:r>
    </w:p>
  </w:footnote>
  <w:footnote w:type="continuationSeparator" w:id="0">
    <w:p w14:paraId="49B2F639" w14:textId="77777777" w:rsidR="00A2136C" w:rsidRDefault="00A2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295BD" w14:textId="4381A355" w:rsidR="00030A7B" w:rsidRPr="0066761D" w:rsidRDefault="00070730" w:rsidP="00F14773">
    <w:pPr>
      <w:pStyle w:val="Header1"/>
      <w:pBdr>
        <w:bottom w:val="single" w:sz="4" w:space="1" w:color="auto"/>
      </w:pBdr>
      <w:tabs>
        <w:tab w:val="center" w:pos="4680"/>
        <w:tab w:val="right" w:pos="9360"/>
        <w:tab w:val="right" w:pos="12960"/>
      </w:tabs>
      <w:spacing w:before="0" w:after="0"/>
      <w:jc w:val="left"/>
      <w:rPr>
        <w:b w:val="0"/>
        <w:bCs w:val="0"/>
        <w:spacing w:val="-2"/>
        <w:sz w:val="20"/>
        <w:szCs w:val="20"/>
      </w:rPr>
    </w:pPr>
    <w:r>
      <w:rPr>
        <w:b w:val="0"/>
        <w:bCs w:val="0"/>
        <w:noProof/>
        <w:spacing w:val="-2"/>
        <w:sz w:val="20"/>
        <w:szCs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E3098A" wp14:editId="0ABC72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640753020" name="Text Box 2" descr="Prote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E5E33" w14:textId="09C0C065" w:rsidR="00070730" w:rsidRPr="00070730" w:rsidRDefault="00070730" w:rsidP="000707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07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0E309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" filled="f" stroked="f">
              <v:textbox style="mso-fit-shape-to-text:t" inset="20pt,15pt,0,0">
                <w:txbxContent>
                  <w:p w14:paraId="6D8E5E33" w14:textId="09C0C065" w:rsidR="00070730" w:rsidRPr="00070730" w:rsidRDefault="00070730" w:rsidP="000707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07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5843C" w14:textId="5384C49F" w:rsidR="00070730" w:rsidRDefault="00070730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7E054" wp14:editId="46FB17E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93552635" name="Text Box 1" descr="Prote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1A029" w14:textId="148A2628" w:rsidR="00070730" w:rsidRPr="00070730" w:rsidRDefault="00070730" w:rsidP="000707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07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777E0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" filled="f" stroked="f">
              <v:textbox style="mso-fit-shape-to-text:t" inset="20pt,15pt,0,0">
                <w:txbxContent>
                  <w:p w14:paraId="35A1A029" w14:textId="148A2628" w:rsidR="00070730" w:rsidRPr="00070730" w:rsidRDefault="00070730" w:rsidP="000707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07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C84"/>
    <w:multiLevelType w:val="multilevel"/>
    <w:tmpl w:val="B9B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5613"/>
    <w:multiLevelType w:val="multilevel"/>
    <w:tmpl w:val="D9B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E09F6"/>
    <w:multiLevelType w:val="hybridMultilevel"/>
    <w:tmpl w:val="88DABD0E"/>
    <w:lvl w:ilvl="0" w:tplc="14649CDE">
      <w:numFmt w:val="bullet"/>
      <w:lvlText w:val="–"/>
      <w:lvlJc w:val="left"/>
      <w:pPr>
        <w:ind w:left="10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8E9077D"/>
    <w:multiLevelType w:val="hybridMultilevel"/>
    <w:tmpl w:val="E11C6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791C"/>
    <w:multiLevelType w:val="hybridMultilevel"/>
    <w:tmpl w:val="B6CE8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47D4"/>
    <w:multiLevelType w:val="multilevel"/>
    <w:tmpl w:val="A27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55D07"/>
    <w:multiLevelType w:val="multilevel"/>
    <w:tmpl w:val="4DDE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B1FC4"/>
    <w:multiLevelType w:val="hybridMultilevel"/>
    <w:tmpl w:val="1FF45C6A"/>
    <w:lvl w:ilvl="0" w:tplc="C87A6340">
      <w:numFmt w:val="bullet"/>
      <w:lvlText w:val="•"/>
      <w:lvlJc w:val="left"/>
      <w:pPr>
        <w:ind w:left="96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22973B25"/>
    <w:multiLevelType w:val="hybridMultilevel"/>
    <w:tmpl w:val="0DD4F37E"/>
    <w:lvl w:ilvl="0" w:tplc="596872EA">
      <w:numFmt w:val="bullet"/>
      <w:lvlText w:val="•"/>
      <w:lvlJc w:val="left"/>
      <w:pPr>
        <w:ind w:left="96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9" w15:restartNumberingAfterBreak="0">
    <w:nsid w:val="2D0F5317"/>
    <w:multiLevelType w:val="hybridMultilevel"/>
    <w:tmpl w:val="E5EC45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953008"/>
    <w:multiLevelType w:val="multilevel"/>
    <w:tmpl w:val="9FA6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02756"/>
    <w:multiLevelType w:val="hybridMultilevel"/>
    <w:tmpl w:val="860AC576"/>
    <w:lvl w:ilvl="0" w:tplc="14649CDE">
      <w:numFmt w:val="bullet"/>
      <w:lvlText w:val="–"/>
      <w:lvlJc w:val="left"/>
      <w:pPr>
        <w:ind w:left="1086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2" w15:restartNumberingAfterBreak="0">
    <w:nsid w:val="48A76084"/>
    <w:multiLevelType w:val="multilevel"/>
    <w:tmpl w:val="E23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B180D"/>
    <w:multiLevelType w:val="multilevel"/>
    <w:tmpl w:val="CC4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B3299"/>
    <w:multiLevelType w:val="multilevel"/>
    <w:tmpl w:val="CC2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A0823"/>
    <w:multiLevelType w:val="multilevel"/>
    <w:tmpl w:val="A1FE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3F5A3E"/>
    <w:multiLevelType w:val="multilevel"/>
    <w:tmpl w:val="A250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B5F3A"/>
    <w:multiLevelType w:val="multilevel"/>
    <w:tmpl w:val="EC5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B5D91"/>
    <w:multiLevelType w:val="hybridMultilevel"/>
    <w:tmpl w:val="0FFA4940"/>
    <w:lvl w:ilvl="0" w:tplc="F5C2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C6DB2"/>
    <w:multiLevelType w:val="hybridMultilevel"/>
    <w:tmpl w:val="1EC4B744"/>
    <w:lvl w:ilvl="0" w:tplc="14649CDE">
      <w:numFmt w:val="bullet"/>
      <w:lvlText w:val="–"/>
      <w:lvlJc w:val="left"/>
      <w:pPr>
        <w:ind w:left="15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33456DF"/>
    <w:multiLevelType w:val="multilevel"/>
    <w:tmpl w:val="08D6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C0201"/>
    <w:multiLevelType w:val="multilevel"/>
    <w:tmpl w:val="4118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13C69"/>
    <w:multiLevelType w:val="multilevel"/>
    <w:tmpl w:val="874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F452B"/>
    <w:multiLevelType w:val="multilevel"/>
    <w:tmpl w:val="7EF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E02DE"/>
    <w:multiLevelType w:val="hybridMultilevel"/>
    <w:tmpl w:val="6E6A69BA"/>
    <w:lvl w:ilvl="0" w:tplc="14649CDE">
      <w:numFmt w:val="bullet"/>
      <w:lvlText w:val="–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2"/>
  </w:num>
  <w:num w:numId="5">
    <w:abstractNumId w:val="19"/>
  </w:num>
  <w:num w:numId="6">
    <w:abstractNumId w:val="7"/>
  </w:num>
  <w:num w:numId="7">
    <w:abstractNumId w:val="11"/>
  </w:num>
  <w:num w:numId="8">
    <w:abstractNumId w:val="24"/>
  </w:num>
  <w:num w:numId="9">
    <w:abstractNumId w:val="8"/>
  </w:num>
  <w:num w:numId="10">
    <w:abstractNumId w:val="15"/>
  </w:num>
  <w:num w:numId="11">
    <w:abstractNumId w:val="17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23"/>
  </w:num>
  <w:num w:numId="17">
    <w:abstractNumId w:val="21"/>
  </w:num>
  <w:num w:numId="18">
    <w:abstractNumId w:val="13"/>
  </w:num>
  <w:num w:numId="19">
    <w:abstractNumId w:val="16"/>
  </w:num>
  <w:num w:numId="20">
    <w:abstractNumId w:val="20"/>
  </w:num>
  <w:num w:numId="21">
    <w:abstractNumId w:val="22"/>
  </w:num>
  <w:num w:numId="22">
    <w:abstractNumId w:val="1"/>
  </w:num>
  <w:num w:numId="23">
    <w:abstractNumId w:val="1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E4"/>
    <w:rsid w:val="00010248"/>
    <w:rsid w:val="00011AE1"/>
    <w:rsid w:val="00030A7B"/>
    <w:rsid w:val="00047062"/>
    <w:rsid w:val="00054B0F"/>
    <w:rsid w:val="00070730"/>
    <w:rsid w:val="00075FD2"/>
    <w:rsid w:val="00076437"/>
    <w:rsid w:val="000847B8"/>
    <w:rsid w:val="000E5D0F"/>
    <w:rsid w:val="000F3C0B"/>
    <w:rsid w:val="00105917"/>
    <w:rsid w:val="00155D9A"/>
    <w:rsid w:val="001670D5"/>
    <w:rsid w:val="001A523F"/>
    <w:rsid w:val="001D7876"/>
    <w:rsid w:val="00210049"/>
    <w:rsid w:val="00222CFF"/>
    <w:rsid w:val="00244220"/>
    <w:rsid w:val="002855CF"/>
    <w:rsid w:val="002D667F"/>
    <w:rsid w:val="002D7C6C"/>
    <w:rsid w:val="002E5ED0"/>
    <w:rsid w:val="00302B8E"/>
    <w:rsid w:val="00314ADF"/>
    <w:rsid w:val="00323DFF"/>
    <w:rsid w:val="00351298"/>
    <w:rsid w:val="00377B6A"/>
    <w:rsid w:val="0038081C"/>
    <w:rsid w:val="003A00D5"/>
    <w:rsid w:val="003A2DBE"/>
    <w:rsid w:val="003B4AC4"/>
    <w:rsid w:val="003C000D"/>
    <w:rsid w:val="004078CE"/>
    <w:rsid w:val="004355F3"/>
    <w:rsid w:val="00440E53"/>
    <w:rsid w:val="00444E58"/>
    <w:rsid w:val="00460C8D"/>
    <w:rsid w:val="00493C82"/>
    <w:rsid w:val="004B006F"/>
    <w:rsid w:val="004C3001"/>
    <w:rsid w:val="0050530A"/>
    <w:rsid w:val="005357DF"/>
    <w:rsid w:val="00541304"/>
    <w:rsid w:val="00562915"/>
    <w:rsid w:val="00567DC9"/>
    <w:rsid w:val="005821F2"/>
    <w:rsid w:val="005A2AAB"/>
    <w:rsid w:val="005B7673"/>
    <w:rsid w:val="005E05EB"/>
    <w:rsid w:val="00620FA3"/>
    <w:rsid w:val="0063740A"/>
    <w:rsid w:val="0063792C"/>
    <w:rsid w:val="00640038"/>
    <w:rsid w:val="00653468"/>
    <w:rsid w:val="006569EB"/>
    <w:rsid w:val="00660198"/>
    <w:rsid w:val="0068686D"/>
    <w:rsid w:val="006A1091"/>
    <w:rsid w:val="006A429D"/>
    <w:rsid w:val="006B4770"/>
    <w:rsid w:val="006D4566"/>
    <w:rsid w:val="006D5D9F"/>
    <w:rsid w:val="006F138C"/>
    <w:rsid w:val="006F1E7C"/>
    <w:rsid w:val="00703F35"/>
    <w:rsid w:val="00705CF4"/>
    <w:rsid w:val="00706BED"/>
    <w:rsid w:val="00710008"/>
    <w:rsid w:val="00731ACF"/>
    <w:rsid w:val="00734BE3"/>
    <w:rsid w:val="00761F1B"/>
    <w:rsid w:val="007867E4"/>
    <w:rsid w:val="00791AF8"/>
    <w:rsid w:val="00793986"/>
    <w:rsid w:val="007E089C"/>
    <w:rsid w:val="007F6F55"/>
    <w:rsid w:val="008022BB"/>
    <w:rsid w:val="008143B0"/>
    <w:rsid w:val="0086279A"/>
    <w:rsid w:val="00874507"/>
    <w:rsid w:val="0088655E"/>
    <w:rsid w:val="00890C80"/>
    <w:rsid w:val="008B40DB"/>
    <w:rsid w:val="008B6FCC"/>
    <w:rsid w:val="008D799A"/>
    <w:rsid w:val="008E32D3"/>
    <w:rsid w:val="008F14F5"/>
    <w:rsid w:val="0092738A"/>
    <w:rsid w:val="00931414"/>
    <w:rsid w:val="00943BAF"/>
    <w:rsid w:val="00956CB3"/>
    <w:rsid w:val="009636A8"/>
    <w:rsid w:val="009844A1"/>
    <w:rsid w:val="00985109"/>
    <w:rsid w:val="009B36FA"/>
    <w:rsid w:val="009F3CD3"/>
    <w:rsid w:val="00A17DBE"/>
    <w:rsid w:val="00A2136C"/>
    <w:rsid w:val="00A6157F"/>
    <w:rsid w:val="00A72344"/>
    <w:rsid w:val="00A91D76"/>
    <w:rsid w:val="00A9389C"/>
    <w:rsid w:val="00AA10FF"/>
    <w:rsid w:val="00AB7DFC"/>
    <w:rsid w:val="00AC4B0C"/>
    <w:rsid w:val="00AF7DD0"/>
    <w:rsid w:val="00B1044D"/>
    <w:rsid w:val="00B22A94"/>
    <w:rsid w:val="00B265EF"/>
    <w:rsid w:val="00B5308A"/>
    <w:rsid w:val="00B6105A"/>
    <w:rsid w:val="00B664AD"/>
    <w:rsid w:val="00B71A80"/>
    <w:rsid w:val="00B86222"/>
    <w:rsid w:val="00B9439F"/>
    <w:rsid w:val="00B95FAB"/>
    <w:rsid w:val="00BA4407"/>
    <w:rsid w:val="00BB63BD"/>
    <w:rsid w:val="00BC4F91"/>
    <w:rsid w:val="00BE16C5"/>
    <w:rsid w:val="00C020CD"/>
    <w:rsid w:val="00C03C61"/>
    <w:rsid w:val="00C266E6"/>
    <w:rsid w:val="00C37B3E"/>
    <w:rsid w:val="00C45780"/>
    <w:rsid w:val="00C770C8"/>
    <w:rsid w:val="00C91F44"/>
    <w:rsid w:val="00CA2057"/>
    <w:rsid w:val="00CC0043"/>
    <w:rsid w:val="00CD3421"/>
    <w:rsid w:val="00CE08CE"/>
    <w:rsid w:val="00D21997"/>
    <w:rsid w:val="00D322AB"/>
    <w:rsid w:val="00D6231D"/>
    <w:rsid w:val="00D6312E"/>
    <w:rsid w:val="00D72378"/>
    <w:rsid w:val="00D911BB"/>
    <w:rsid w:val="00DB46FD"/>
    <w:rsid w:val="00DD4923"/>
    <w:rsid w:val="00E10ED5"/>
    <w:rsid w:val="00E30BA2"/>
    <w:rsid w:val="00E33C64"/>
    <w:rsid w:val="00E81C77"/>
    <w:rsid w:val="00E90BCA"/>
    <w:rsid w:val="00E921CC"/>
    <w:rsid w:val="00EA2980"/>
    <w:rsid w:val="00EB00D9"/>
    <w:rsid w:val="00ED3DAD"/>
    <w:rsid w:val="00ED6692"/>
    <w:rsid w:val="00EE6856"/>
    <w:rsid w:val="00EF6394"/>
    <w:rsid w:val="00EF67C2"/>
    <w:rsid w:val="00F02229"/>
    <w:rsid w:val="00F329C6"/>
    <w:rsid w:val="00F62DCD"/>
    <w:rsid w:val="00F66FBE"/>
    <w:rsid w:val="00F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A1BA"/>
  <w15:chartTrackingRefBased/>
  <w15:docId w15:val="{5B6F7BEC-7A53-43D0-9D75-53C685EF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E4"/>
    <w:pPr>
      <w:spacing w:after="200" w:line="276" w:lineRule="auto"/>
    </w:pPr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7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7E4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867E4"/>
    <w:rPr>
      <w:rFonts w:ascii="Times New Roman" w:eastAsia="Times New Roman" w:hAnsi="Times New Roman" w:cs="Times New Roman"/>
      <w:sz w:val="20"/>
      <w:szCs w:val="24"/>
    </w:rPr>
  </w:style>
  <w:style w:type="character" w:styleId="a5">
    <w:name w:val="page number"/>
    <w:basedOn w:val="a0"/>
    <w:rsid w:val="007867E4"/>
  </w:style>
  <w:style w:type="paragraph" w:customStyle="1" w:styleId="Header1">
    <w:name w:val="Header1"/>
    <w:basedOn w:val="a"/>
    <w:rsid w:val="007867E4"/>
    <w:pPr>
      <w:widowControl w:val="0"/>
      <w:autoSpaceDE w:val="0"/>
      <w:autoSpaceDN w:val="0"/>
      <w:spacing w:before="240" w:after="480" w:line="240" w:lineRule="auto"/>
      <w:jc w:val="center"/>
    </w:pPr>
    <w:rPr>
      <w:rFonts w:ascii="Times New Roman" w:eastAsia="Times New Roman" w:hAnsi="Times New Roman" w:cs="Times New Roman"/>
      <w:b/>
      <w:bCs/>
      <w:spacing w:val="4"/>
      <w:sz w:val="44"/>
      <w:szCs w:val="46"/>
    </w:rPr>
  </w:style>
  <w:style w:type="paragraph" w:styleId="a6">
    <w:name w:val="Normal (Web)"/>
    <w:basedOn w:val="a"/>
    <w:uiPriority w:val="99"/>
    <w:semiHidden/>
    <w:unhideWhenUsed/>
    <w:rsid w:val="0073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34BE3"/>
    <w:rPr>
      <w:b/>
      <w:bCs/>
    </w:rPr>
  </w:style>
  <w:style w:type="paragraph" w:styleId="a8">
    <w:name w:val="Revision"/>
    <w:hidden/>
    <w:uiPriority w:val="99"/>
    <w:semiHidden/>
    <w:rsid w:val="00956CB3"/>
    <w:pPr>
      <w:spacing w:after="0" w:line="240" w:lineRule="auto"/>
    </w:pPr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95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6CB3"/>
    <w:rPr>
      <w:rFonts w:eastAsiaTheme="minorEastAsia"/>
    </w:rPr>
  </w:style>
  <w:style w:type="character" w:styleId="ab">
    <w:name w:val="Hyperlink"/>
    <w:basedOn w:val="a0"/>
    <w:uiPriority w:val="99"/>
    <w:unhideWhenUsed/>
    <w:rsid w:val="005E05E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E05EB"/>
    <w:rPr>
      <w:color w:val="605E5C"/>
      <w:shd w:val="clear" w:color="auto" w:fill="E1DFDD"/>
    </w:rPr>
  </w:style>
  <w:style w:type="paragraph" w:styleId="ac">
    <w:name w:val="List Paragraph"/>
    <w:aliases w:val="Citation List,본문(내용),List Paragraph (numbered (a)),Colorful List - Accent 11,ADB Paragraph,lp1,Bullet Paragraph,List Paragraph nowy,Bullets,References,List Paragraph1,heading 6,WB List Paragraph,Liste 1,ANNEX,Ha,Paragraphe de liste1"/>
    <w:basedOn w:val="a"/>
    <w:link w:val="ad"/>
    <w:uiPriority w:val="34"/>
    <w:qFormat/>
    <w:rsid w:val="00793986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761F1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61F1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61F1B"/>
    <w:rPr>
      <w:rFonts w:eastAsiaTheme="minorEastAsia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1F1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61F1B"/>
    <w:rPr>
      <w:rFonts w:eastAsiaTheme="minorEastAsia"/>
      <w:b/>
      <w:bCs/>
      <w:sz w:val="20"/>
      <w:szCs w:val="20"/>
    </w:rPr>
  </w:style>
  <w:style w:type="paragraph" w:styleId="af3">
    <w:name w:val="Subtitle"/>
    <w:basedOn w:val="a"/>
    <w:next w:val="a"/>
    <w:link w:val="af4"/>
    <w:uiPriority w:val="11"/>
    <w:qFormat/>
    <w:rsid w:val="008E32D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8E32D3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Абзац списка Знак"/>
    <w:aliases w:val="Citation List Знак,본문(내용) Знак,List Paragraph (numbered (a)) Знак,Colorful List - Accent 11 Знак,ADB Paragraph Знак,lp1 Знак,Bullet Paragraph Знак,List Paragraph nowy Знак,Bullets Знак,References Знак,List Paragraph1 Знак,Liste 1 Знак"/>
    <w:basedOn w:val="a0"/>
    <w:link w:val="ac"/>
    <w:uiPriority w:val="34"/>
    <w:rsid w:val="008E32D3"/>
    <w:rPr>
      <w:rFonts w:eastAsiaTheme="minorEastAsia"/>
    </w:rPr>
  </w:style>
  <w:style w:type="paragraph" w:styleId="HTML">
    <w:name w:val="HTML Preformatted"/>
    <w:basedOn w:val="a"/>
    <w:link w:val="HTML0"/>
    <w:uiPriority w:val="99"/>
    <w:unhideWhenUsed/>
    <w:rsid w:val="000102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0248"/>
    <w:rPr>
      <w:rFonts w:ascii="Consolas" w:eastAsiaTheme="minorEastAsia" w:hAnsi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770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5">
    <w:name w:val="footnote text"/>
    <w:basedOn w:val="a"/>
    <w:link w:val="af6"/>
    <w:uiPriority w:val="99"/>
    <w:semiHidden/>
    <w:unhideWhenUsed/>
    <w:rsid w:val="00C37B3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37B3E"/>
    <w:rPr>
      <w:rFonts w:eastAsiaTheme="minorEastAsia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C37B3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55D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0FD9-32DA-4B96-9768-39E05FFB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Islamic Development Bank</Company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Elhadj Malick Soumare</dc:creator>
  <cp:keywords/>
  <dc:description/>
  <cp:lastModifiedBy>Аманова Б.Т</cp:lastModifiedBy>
  <cp:revision>2</cp:revision>
  <dcterms:created xsi:type="dcterms:W3CDTF">2025-12-30T03:36:00Z</dcterms:created>
  <dcterms:modified xsi:type="dcterms:W3CDTF">2025-12-30T03:36:00Z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2f4ca6fb,61cbe77c,3346b34f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2025-10-08T11:25:44Z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ca82f693-0be1-4a03-b093-50446d32e955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